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19"/>
        </w:rPr>
      </w:pPr>
    </w:p>
    <w:p>
      <w:pPr>
        <w:spacing w:before="62"/>
        <w:ind w:left="2015" w:right="2015" w:firstLine="0"/>
        <w:jc w:val="center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项目名称：与美国兰德大学合作项目</w:t>
      </w:r>
    </w:p>
    <w:p>
      <w:pPr>
        <w:pStyle w:val="BodyText"/>
        <w:spacing w:before="11"/>
        <w:rPr>
          <w:rFonts w:ascii="黑体"/>
          <w:sz w:val="34"/>
        </w:rPr>
      </w:pPr>
    </w:p>
    <w:p>
      <w:pPr>
        <w:pStyle w:val="Heading1"/>
      </w:pPr>
      <w:r>
        <w:rPr/>
        <w:t>项目介绍：</w:t>
      </w:r>
    </w:p>
    <w:p>
      <w:pPr>
        <w:pStyle w:val="BodyText"/>
        <w:spacing w:line="242" w:lineRule="auto" w:before="5"/>
        <w:ind w:left="120" w:right="117" w:firstLine="480"/>
        <w:jc w:val="both"/>
      </w:pPr>
      <w:r>
        <w:rPr>
          <w:spacing w:val="-6"/>
        </w:rPr>
        <w:t>本项目是与兰德大学合作开展访问生项目，每年选派 </w:t>
      </w:r>
      <w:r>
        <w:rPr>
          <w:rFonts w:ascii="Times New Roman" w:eastAsia="Times New Roman"/>
        </w:rPr>
        <w:t>2-3 </w:t>
      </w:r>
      <w:r>
        <w:rPr>
          <w:spacing w:val="-2"/>
        </w:rPr>
        <w:t>名学生赴该校交流</w:t>
      </w:r>
      <w:r>
        <w:rPr>
          <w:spacing w:val="-10"/>
        </w:rPr>
        <w:t>学习。学生修读本专业相关课程，获得该校学分，如符合我校相关管理规定，可</w:t>
      </w:r>
      <w:r>
        <w:rPr/>
        <w:t>予以学分认定。</w:t>
      </w:r>
    </w:p>
    <w:p>
      <w:pPr>
        <w:pStyle w:val="BodyText"/>
        <w:spacing w:line="242" w:lineRule="auto" w:before="4"/>
        <w:ind w:left="120" w:right="112" w:firstLine="480"/>
        <w:jc w:val="both"/>
      </w:pPr>
      <w:r>
        <w:rPr>
          <w:spacing w:val="-4"/>
        </w:rPr>
        <w:t>兰德大学</w:t>
      </w:r>
      <w:r>
        <w:rPr/>
        <w:t>（</w:t>
      </w:r>
      <w:r>
        <w:rPr>
          <w:rFonts w:ascii="Times New Roman" w:hAnsi="Times New Roman" w:eastAsia="Times New Roman"/>
        </w:rPr>
        <w:t>Lander University</w:t>
      </w:r>
      <w:r>
        <w:rPr/>
        <w:t>）</w:t>
      </w:r>
      <w:r>
        <w:rPr>
          <w:spacing w:val="-16"/>
        </w:rPr>
        <w:t>始建于 </w:t>
      </w:r>
      <w:r>
        <w:rPr>
          <w:rFonts w:ascii="Times New Roman" w:hAnsi="Times New Roman" w:eastAsia="Times New Roman"/>
        </w:rPr>
        <w:t>1872 </w:t>
      </w:r>
      <w:r>
        <w:rPr>
          <w:spacing w:val="-5"/>
        </w:rPr>
        <w:t>年，位于美国南卡罗莱纳州的格</w:t>
      </w:r>
      <w:r>
        <w:rPr>
          <w:spacing w:val="-10"/>
        </w:rPr>
        <w:t>林伍德市，是一所历史悠久并广受赞誉的美国南部公立大学。学校开设本科和研</w:t>
      </w:r>
      <w:r>
        <w:rPr>
          <w:spacing w:val="-8"/>
        </w:rPr>
        <w:t>究生专业多达 </w:t>
      </w:r>
      <w:r>
        <w:rPr>
          <w:rFonts w:ascii="Times New Roman" w:hAnsi="Times New Roman" w:eastAsia="Times New Roman"/>
        </w:rPr>
        <w:t>60 </w:t>
      </w:r>
      <w:r>
        <w:rPr/>
        <w:t>余个，其中商业管理、计算机、工程、教育、护理、音乐和艺术等专业广受推崇。工商管理、会计、经济</w:t>
      </w:r>
      <w:r>
        <w:rPr>
          <w:rFonts w:ascii="Times New Roman" w:hAnsi="Times New Roman" w:eastAsia="Times New Roman"/>
        </w:rPr>
        <w:t>/</w:t>
      </w:r>
      <w:r>
        <w:rPr/>
        <w:t>金融、市场营销和医疗健康管理等专业均获得</w:t>
      </w:r>
      <w:r>
        <w:rPr>
          <w:rFonts w:ascii="Times New Roman" w:hAnsi="Times New Roman" w:eastAsia="Times New Roman"/>
        </w:rPr>
        <w:t>“</w:t>
      </w:r>
      <w:r>
        <w:rPr/>
        <w:t>国际精英商学院协会</w:t>
      </w:r>
      <w:r>
        <w:rPr>
          <w:rFonts w:ascii="Times New Roman" w:hAnsi="Times New Roman" w:eastAsia="Times New Roman"/>
        </w:rPr>
        <w:t>(AACSB)”</w:t>
      </w:r>
      <w:r>
        <w:rPr/>
        <w:t>权威认证。</w:t>
      </w:r>
    </w:p>
    <w:p>
      <w:pPr>
        <w:pStyle w:val="BodyText"/>
        <w:spacing w:before="11"/>
      </w:pPr>
    </w:p>
    <w:p>
      <w:pPr>
        <w:spacing w:before="1"/>
        <w:ind w:left="120" w:right="0" w:firstLine="0"/>
        <w:jc w:val="left"/>
        <w:rPr>
          <w:sz w:val="24"/>
        </w:rPr>
      </w:pPr>
      <w:r>
        <w:rPr>
          <w:b/>
          <w:sz w:val="24"/>
        </w:rPr>
        <w:t>参加对象：</w:t>
      </w:r>
      <w:r>
        <w:rPr>
          <w:sz w:val="24"/>
        </w:rPr>
        <w:t>本科生或研究生</w:t>
      </w:r>
    </w:p>
    <w:p>
      <w:pPr>
        <w:pStyle w:val="BodyText"/>
        <w:spacing w:before="8"/>
      </w:pPr>
    </w:p>
    <w:p>
      <w:pPr>
        <w:pStyle w:val="BodyText"/>
        <w:spacing w:line="242" w:lineRule="auto" w:before="1"/>
        <w:ind w:left="1320" w:right="117" w:hanging="1200"/>
      </w:pPr>
      <w:r>
        <w:rPr>
          <w:b/>
          <w:spacing w:val="-3"/>
        </w:rPr>
        <w:t>语言要求：</w:t>
      </w:r>
      <w:r>
        <w:rPr>
          <w:spacing w:val="-21"/>
        </w:rPr>
        <w:t>托福 </w:t>
      </w:r>
      <w:r>
        <w:rPr>
          <w:rFonts w:ascii="Times New Roman" w:eastAsia="Times New Roman"/>
        </w:rPr>
        <w:t>80</w:t>
      </w:r>
      <w:r>
        <w:rPr>
          <w:spacing w:val="-18"/>
        </w:rPr>
        <w:t>、雅思 </w:t>
      </w:r>
      <w:r>
        <w:rPr>
          <w:rFonts w:ascii="Times New Roman" w:eastAsia="Times New Roman"/>
        </w:rPr>
        <w:t>6.0</w:t>
      </w:r>
      <w:r>
        <w:rPr>
          <w:spacing w:val="-11"/>
        </w:rPr>
        <w:t>、大学英语四级 </w:t>
      </w:r>
      <w:r>
        <w:rPr>
          <w:rFonts w:ascii="Times New Roman" w:eastAsia="Times New Roman"/>
        </w:rPr>
        <w:t>500 </w:t>
      </w:r>
      <w:r>
        <w:rPr>
          <w:spacing w:val="-7"/>
        </w:rPr>
        <w:t>分或大学英语六级 </w:t>
      </w:r>
      <w:r>
        <w:rPr>
          <w:rFonts w:ascii="Times New Roman" w:eastAsia="Times New Roman"/>
        </w:rPr>
        <w:t>450 </w:t>
      </w:r>
      <w:r>
        <w:rPr>
          <w:spacing w:val="-6"/>
        </w:rPr>
        <w:t>分及以</w:t>
      </w:r>
      <w:r>
        <w:rPr/>
        <w:t>上</w:t>
      </w:r>
    </w:p>
    <w:p>
      <w:pPr>
        <w:pStyle w:val="BodyText"/>
        <w:spacing w:before="7"/>
      </w:pPr>
    </w:p>
    <w:p>
      <w:pPr>
        <w:spacing w:before="0"/>
        <w:ind w:left="120" w:right="0" w:firstLine="0"/>
        <w:jc w:val="left"/>
        <w:rPr>
          <w:rFonts w:ascii="Times New Roman" w:eastAsia="Times New Roman"/>
          <w:sz w:val="24"/>
        </w:rPr>
      </w:pPr>
      <w:r>
        <w:rPr>
          <w:b/>
          <w:sz w:val="24"/>
        </w:rPr>
        <w:t>绩点要求：</w:t>
      </w:r>
      <w:r>
        <w:rPr>
          <w:sz w:val="24"/>
        </w:rPr>
        <w:t>绩点不低于 </w:t>
      </w:r>
      <w:r>
        <w:rPr>
          <w:rFonts w:ascii="Times New Roman" w:eastAsia="Times New Roman"/>
          <w:sz w:val="24"/>
        </w:rPr>
        <w:t>2.0</w:t>
      </w: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留学期限：</w:t>
      </w:r>
      <w:r>
        <w:rPr>
          <w:sz w:val="24"/>
        </w:rPr>
        <w:t>一学期</w:t>
      </w:r>
    </w:p>
    <w:p>
      <w:pPr>
        <w:pStyle w:val="BodyText"/>
        <w:spacing w:before="9"/>
      </w:pPr>
    </w:p>
    <w:p>
      <w:pPr>
        <w:pStyle w:val="BodyText"/>
        <w:tabs>
          <w:tab w:pos="839" w:val="left" w:leader="none"/>
        </w:tabs>
        <w:ind w:left="120"/>
      </w:pPr>
      <w:r>
        <w:rPr>
          <w:b/>
        </w:rPr>
        <w:t>费</w:t>
        <w:tab/>
        <w:t>用：</w:t>
      </w:r>
      <w:r>
        <w:rPr/>
        <w:t>能负担留学期间的学费、杂费和生活费用。 此项目需支付部分学费</w:t>
      </w:r>
    </w:p>
    <w:p>
      <w:pPr>
        <w:spacing w:line="487" w:lineRule="auto" w:before="5"/>
        <w:ind w:left="120" w:right="4705" w:firstLine="1200"/>
        <w:jc w:val="left"/>
        <w:rPr>
          <w:sz w:val="24"/>
        </w:rPr>
      </w:pPr>
      <w:r>
        <w:rPr>
          <w:sz w:val="24"/>
        </w:rPr>
        <w:t>（</w:t>
      </w:r>
      <w:r>
        <w:rPr>
          <w:spacing w:val="-12"/>
          <w:sz w:val="24"/>
        </w:rPr>
        <w:t>每学期约 </w:t>
      </w:r>
      <w:r>
        <w:rPr>
          <w:rFonts w:ascii="Times New Roman" w:eastAsia="Times New Roman"/>
          <w:sz w:val="24"/>
        </w:rPr>
        <w:t>6000 </w:t>
      </w:r>
      <w:r>
        <w:rPr>
          <w:sz w:val="24"/>
        </w:rPr>
        <w:t>美元</w:t>
      </w:r>
      <w:r>
        <w:rPr>
          <w:spacing w:val="-19"/>
          <w:sz w:val="24"/>
        </w:rPr>
        <w:t>） </w:t>
      </w:r>
      <w:r>
        <w:rPr>
          <w:b/>
          <w:sz w:val="24"/>
        </w:rPr>
        <w:t>是否有学分：</w:t>
      </w:r>
      <w:r>
        <w:rPr>
          <w:sz w:val="24"/>
        </w:rPr>
        <w:t>是</w:t>
      </w:r>
    </w:p>
    <w:p>
      <w:pPr>
        <w:pStyle w:val="Heading1"/>
        <w:spacing w:line="307" w:lineRule="exact"/>
        <w:rPr>
          <w:b w:val="0"/>
        </w:rPr>
      </w:pPr>
      <w:r>
        <w:rPr>
          <w:w w:val="95"/>
        </w:rPr>
        <w:t>是否有学位：</w:t>
      </w:r>
      <w:r>
        <w:rPr>
          <w:b w:val="0"/>
          <w:w w:val="95"/>
        </w:rPr>
        <w:t>否</w:t>
      </w:r>
    </w:p>
    <w:p>
      <w:pPr>
        <w:pStyle w:val="BodyText"/>
        <w:spacing w:before="8"/>
      </w:pPr>
    </w:p>
    <w:p>
      <w:pPr>
        <w:pStyle w:val="BodyText"/>
        <w:spacing w:before="1"/>
        <w:ind w:left="120"/>
        <w:rPr>
          <w:rFonts w:ascii="Times New Roman" w:eastAsia="Times New Roman"/>
        </w:rPr>
      </w:pPr>
      <w:r>
        <w:rPr>
          <w:b/>
        </w:rPr>
        <w:t>学校网址：</w:t>
      </w:r>
      <w:hyperlink r:id="rId5">
        <w:r>
          <w:rPr>
            <w:rFonts w:ascii="Times New Roman" w:eastAsia="Times New Roman"/>
          </w:rPr>
          <w:t>http://www.lander.edu/</w:t>
        </w:r>
      </w:hyperlink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3"/>
        <w:rPr>
          <w:rFonts w:ascii="Times New Roman"/>
          <w:sz w:val="34"/>
        </w:rPr>
      </w:pPr>
    </w:p>
    <w:p>
      <w:pPr>
        <w:pStyle w:val="BodyText"/>
        <w:ind w:left="120"/>
      </w:pPr>
      <w:r>
        <w:rPr/>
        <w:t>（以上项目信息仅供参考，具体申报条件及所需费用以实际公告内容为准）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p>
      <w:pPr>
        <w:spacing w:before="92"/>
        <w:ind w:left="0" w:right="116" w:firstLine="0"/>
        <w:jc w:val="right"/>
        <w:rPr>
          <w:rFonts w:ascii="Times New Roman"/>
          <w:sz w:val="18"/>
        </w:rPr>
      </w:pPr>
      <w:r>
        <w:rPr>
          <w:rFonts w:ascii="Times New Roman"/>
          <w:sz w:val="18"/>
        </w:rPr>
        <w:t>20</w:t>
      </w: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  <w:lang w:val="zh-CN" w:eastAsia="zh-CN" w:bidi="zh-CN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lander.ed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2021-09-26T06:51:51Z</dcterms:created>
  <dcterms:modified xsi:type="dcterms:W3CDTF">2021-09-26T06:51:51Z</dcterms:modified>
</cp:coreProperties>
</file>