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457" w:right="1572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项目名称：与美国宾州印第安纳大学合作项目</w:t>
      </w:r>
    </w:p>
    <w:p>
      <w:pPr>
        <w:pStyle w:val="BodyText"/>
        <w:spacing w:before="12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237" w:firstLine="480"/>
        <w:jc w:val="both"/>
      </w:pPr>
      <w:r>
        <w:rPr>
          <w:spacing w:val="-6"/>
        </w:rPr>
        <w:t>本项目是与宾州印第安纳大学合作开展交换生项目，每年选派 </w:t>
      </w:r>
      <w:r>
        <w:rPr>
          <w:rFonts w:ascii="Times New Roman" w:eastAsia="Times New Roman"/>
        </w:rPr>
        <w:t>1-2 </w:t>
      </w:r>
      <w:r>
        <w:rPr>
          <w:spacing w:val="-4"/>
        </w:rPr>
        <w:t>名学生赴</w:t>
      </w:r>
      <w:r>
        <w:rPr>
          <w:spacing w:val="-9"/>
        </w:rPr>
        <w:t>该校交换学习。学生修读本专业相关课程，获得该校学分，如符合我校相关管理</w:t>
      </w:r>
      <w:r>
        <w:rPr/>
        <w:t>规定，可予以学分认定。</w:t>
      </w:r>
    </w:p>
    <w:p>
      <w:pPr>
        <w:pStyle w:val="BodyText"/>
        <w:spacing w:line="242" w:lineRule="auto" w:before="4"/>
        <w:ind w:left="120" w:right="117" w:firstLine="482"/>
      </w:pPr>
      <w:r>
        <w:rPr/>
        <w:t>宾州印第安纳大学（</w:t>
      </w:r>
      <w:r>
        <w:rPr>
          <w:rFonts w:ascii="Times New Roman" w:eastAsia="Times New Roman"/>
        </w:rPr>
        <w:t>Indiana University at Pensyvania</w:t>
      </w:r>
      <w:r>
        <w:rPr/>
        <w:t>）位于印第安纳地区， </w:t>
      </w:r>
      <w:r>
        <w:rPr>
          <w:spacing w:val="-16"/>
        </w:rPr>
        <w:t>始建于 </w:t>
      </w:r>
      <w:r>
        <w:rPr>
          <w:rFonts w:ascii="Times New Roman" w:eastAsia="Times New Roman"/>
        </w:rPr>
        <w:t>1875 </w:t>
      </w:r>
      <w:r>
        <w:rPr>
          <w:spacing w:val="-12"/>
        </w:rPr>
        <w:t>年，是一所建校历史悠久并纳入宾州州立高等教育系统的公立学校。</w:t>
      </w:r>
      <w:r>
        <w:rPr/>
        <w:t>宾州印第安纳大学一直以来在学院管理建设上都名列前茅。学校被认为是</w:t>
      </w:r>
      <w:r>
        <w:rPr>
          <w:rFonts w:ascii="Times New Roman" w:eastAsia="Times New Roman"/>
        </w:rPr>
        <w:t>"</w:t>
      </w:r>
      <w:r>
        <w:rPr/>
        <w:t>公立的常青藤大学</w:t>
      </w:r>
      <w:r>
        <w:rPr>
          <w:rFonts w:ascii="Times New Roman" w:eastAsia="Times New Roman"/>
        </w:rPr>
        <w:t>"</w:t>
      </w:r>
      <w:r>
        <w:rPr/>
        <w:t>，是唯一可以与常青藤联盟的学校在教学环境等条件下相媲美的</w:t>
      </w:r>
      <w:r>
        <w:rPr>
          <w:spacing w:val="-9"/>
        </w:rPr>
        <w:t>学校。学校下设很多专业，包括会计学，犯罪学，初等教育，通信学，市场经济学等。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本科生或研究生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296" w:right="237" w:hanging="1176"/>
        <w:rPr>
          <w:rFonts w:ascii="Times New Roman" w:eastAsia="Times New Roman"/>
        </w:rPr>
      </w:pPr>
      <w:r>
        <w:rPr>
          <w:b/>
          <w:spacing w:val="-2"/>
        </w:rPr>
        <w:t>语言要求：</w:t>
      </w:r>
      <w:r>
        <w:rPr>
          <w:spacing w:val="-13"/>
        </w:rPr>
        <w:t>托福网考 </w:t>
      </w:r>
      <w:r>
        <w:rPr>
          <w:rFonts w:ascii="Times New Roman" w:eastAsia="Times New Roman"/>
        </w:rPr>
        <w:t>61</w:t>
      </w:r>
      <w:r>
        <w:rPr>
          <w:spacing w:val="-18"/>
        </w:rPr>
        <w:t>、雅思 </w:t>
      </w:r>
      <w:r>
        <w:rPr>
          <w:rFonts w:ascii="Times New Roman" w:eastAsia="Times New Roman"/>
          <w:spacing w:val="-3"/>
        </w:rPr>
        <w:t>5.5</w:t>
      </w:r>
      <w:r>
        <w:rPr>
          <w:spacing w:val="-10"/>
        </w:rPr>
        <w:t>，研究生：托福网考 </w:t>
      </w:r>
      <w:r>
        <w:rPr>
          <w:rFonts w:ascii="Times New Roman" w:eastAsia="Times New Roman"/>
        </w:rPr>
        <w:t>76</w:t>
      </w:r>
      <w:r>
        <w:rPr>
          <w:spacing w:val="-19"/>
        </w:rPr>
        <w:t>、雅思 </w:t>
      </w:r>
      <w:r>
        <w:rPr>
          <w:rFonts w:ascii="Times New Roman" w:eastAsia="Times New Roman"/>
        </w:rPr>
        <w:t>6.0</w:t>
      </w:r>
      <w:r>
        <w:rPr/>
        <w:t>；</w:t>
      </w:r>
      <w:r>
        <w:rPr>
          <w:rFonts w:ascii="Times New Roman" w:eastAsia="Times New Roman"/>
        </w:rPr>
        <w:t>(</w:t>
      </w:r>
      <w:r>
        <w:rPr>
          <w:spacing w:val="-4"/>
        </w:rPr>
        <w:t>部分研究</w:t>
      </w:r>
      <w:r>
        <w:rPr/>
        <w:t>生专业要求更高</w:t>
      </w:r>
      <w:r>
        <w:rPr>
          <w:rFonts w:ascii="Times New Roman" w:eastAsia="Times New Roman"/>
        </w:rPr>
        <w:t>)</w:t>
      </w: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2.5</w: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留学期限：</w:t>
      </w:r>
      <w:r>
        <w:rPr>
          <w:sz w:val="24"/>
        </w:rPr>
        <w:t>一年</w:t>
      </w:r>
    </w:p>
    <w:p>
      <w:pPr>
        <w:pStyle w:val="BodyText"/>
        <w:spacing w:before="9"/>
      </w:pPr>
    </w:p>
    <w:p>
      <w:pPr>
        <w:pStyle w:val="BodyText"/>
        <w:tabs>
          <w:tab w:pos="839" w:val="left" w:leader="none"/>
        </w:tabs>
        <w:spacing w:line="242" w:lineRule="auto"/>
        <w:ind w:left="1296" w:right="117" w:hanging="1176"/>
      </w:pPr>
      <w:r>
        <w:rPr>
          <w:b/>
          <w:w w:val="99"/>
        </w:rPr>
        <w:t>费</w:t>
      </w:r>
      <w:r>
        <w:rPr>
          <w:b/>
        </w:rPr>
        <w:tab/>
      </w:r>
      <w:r>
        <w:rPr>
          <w:b/>
          <w:w w:val="99"/>
        </w:rPr>
        <w:t>用</w:t>
      </w:r>
      <w:r>
        <w:rPr>
          <w:b/>
          <w:spacing w:val="2"/>
          <w:w w:val="99"/>
        </w:rPr>
        <w:t>：</w:t>
      </w:r>
      <w:r>
        <w:rPr/>
        <w:t>能负担留学相关费用（免学费，杂费和生活费自行承担</w:t>
      </w:r>
      <w:r>
        <w:rPr>
          <w:spacing w:val="-120"/>
        </w:rPr>
        <w:t>）</w:t>
      </w:r>
      <w:r>
        <w:rPr/>
        <w:t>；此项目还可招收</w:t>
      </w:r>
      <w:r>
        <w:rPr>
          <w:spacing w:val="-60"/>
        </w:rPr>
        <w:t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>-</w:t>
      </w:r>
      <w:r>
        <w:rPr>
          <w:rFonts w:ascii="Times New Roman" w:eastAsia="Times New Roman"/>
        </w:rPr>
        <w:t>6 </w:t>
      </w:r>
      <w:r>
        <w:rPr/>
        <w:t>名访问</w:t>
      </w:r>
      <w:r>
        <w:rPr>
          <w:spacing w:val="-15"/>
        </w:rPr>
        <w:t>生</w:t>
      </w:r>
      <w:r>
        <w:rPr/>
        <w:t>（可选择就读一学期或一学年</w:t>
      </w:r>
      <w:r>
        <w:rPr>
          <w:spacing w:val="-120"/>
        </w:rPr>
        <w:t>）</w:t>
      </w:r>
      <w:r>
        <w:rPr>
          <w:spacing w:val="-15"/>
        </w:rPr>
        <w:t>，</w:t>
      </w:r>
      <w:r>
        <w:rPr/>
        <w:t>项目要求不</w:t>
      </w:r>
      <w:r>
        <w:rPr>
          <w:spacing w:val="-1"/>
        </w:rPr>
        <w:t>变</w:t>
      </w:r>
      <w:r>
        <w:rPr>
          <w:spacing w:val="-15"/>
        </w:rPr>
        <w:t>，</w:t>
      </w:r>
    </w:p>
    <w:p>
      <w:pPr>
        <w:pStyle w:val="BodyText"/>
        <w:spacing w:line="487" w:lineRule="auto" w:before="3"/>
        <w:ind w:left="120" w:right="1009" w:firstLine="1176"/>
      </w:pPr>
      <w:r>
        <w:rPr/>
        <w:t>但需支付部分学费（</w:t>
      </w:r>
      <w:r>
        <w:rPr>
          <w:spacing w:val="-12"/>
        </w:rPr>
        <w:t>每学期约 </w:t>
      </w:r>
      <w:r>
        <w:rPr>
          <w:rFonts w:ascii="Times New Roman" w:eastAsia="Times New Roman"/>
        </w:rPr>
        <w:t>8300 </w:t>
      </w:r>
      <w:r>
        <w:rPr/>
        <w:t>美元）</w:t>
      </w:r>
      <w:r>
        <w:rPr>
          <w:spacing w:val="-3"/>
        </w:rPr>
        <w:t>以及杂费和生活费</w:t>
      </w:r>
      <w:r>
        <w:rPr>
          <w:b/>
        </w:rPr>
        <w:t>是否有学分：</w:t>
      </w:r>
      <w:r>
        <w:rPr/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spacing w:before="0"/>
        <w:ind w:left="120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学校网址：</w:t>
      </w:r>
      <w:hyperlink r:id="rId5">
        <w:r>
          <w:rPr>
            <w:rFonts w:ascii="Times New Roman" w:eastAsia="Times New Roman"/>
            <w:sz w:val="24"/>
          </w:rPr>
          <w:t>http://www.iup.edu/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33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23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21</w:t>
      </w:r>
    </w:p>
    <w:sectPr>
      <w:type w:val="continuous"/>
      <w:pgSz w:w="11910" w:h="16840"/>
      <w:pgMar w:top="152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up.ed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2021-09-26T06:51:51Z</dcterms:created>
  <dcterms:modified xsi:type="dcterms:W3CDTF">2021-09-26T06:51:51Z</dcterms:modified>
</cp:coreProperties>
</file>